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F0" w:rsidRPr="001C16F0" w:rsidRDefault="0089276A" w:rsidP="0089276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>
        <w:rPr>
          <w:rFonts w:ascii="Arial" w:eastAsia="Times New Roman" w:hAnsi="Arial" w:cs="Arial"/>
          <w:color w:val="3E4040"/>
          <w:sz w:val="27"/>
          <w:szCs w:val="27"/>
        </w:rPr>
        <w:tab/>
      </w:r>
      <w:r w:rsidR="001C16F0" w:rsidRPr="001C16F0">
        <w:rPr>
          <w:rFonts w:ascii="Arial" w:eastAsia="Times New Roman" w:hAnsi="Arial" w:cs="Arial"/>
          <w:color w:val="3E4040"/>
          <w:sz w:val="27"/>
          <w:szCs w:val="27"/>
        </w:rPr>
        <w:t>Организации могут оказывать материальную помощь работникам / бывшим работникам в связи со смертью их родственников, в том числе близких. Материальная помощь также может выплачиваться в связи со смертью работников / бывших работников их родным и близким. Предоставление организацией материальной помощи такого рода, как правило, оговаривается в ЛНПА (коллективном договоре, положении об оплате труда, положении об оказании материальной помощи, трудовом договоре). Для ее получения следует обратиться в организацию с соответствующим заявлением и документами, подтверждающими основания для ее выплаты (в случае необходимости).</w:t>
      </w:r>
    </w:p>
    <w:p w:rsidR="001C16F0" w:rsidRPr="001C16F0" w:rsidRDefault="001C16F0" w:rsidP="0089276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При исчислении подоходного налога и страховых взносов в ФСЗН и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Белгосстрах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 такая матпомощь может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льготироваться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. Применение льгот зависит от того, кем выплачивается помощь, кому и по </w:t>
      </w:r>
      <w:proofErr w:type="gram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случаю</w:t>
      </w:r>
      <w:proofErr w:type="gram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 чьей смерти она выплачивается, кто относится к категории близких родственников.</w:t>
      </w:r>
    </w:p>
    <w:p w:rsidR="001C16F0" w:rsidRPr="001C16F0" w:rsidRDefault="001C16F0" w:rsidP="0089276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Рассмотрим порядок исчисления «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зарплатных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>» налогов и льготы, применяемые в различных ситуациях.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1. Материальная помощь в связи со смертью, оказываемая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b/>
          <w:bCs/>
          <w:color w:val="3E4040"/>
          <w:sz w:val="27"/>
        </w:rPr>
        <w:t>работникам:</w:t>
      </w:r>
    </w:p>
    <w:tbl>
      <w:tblPr>
        <w:tblW w:w="11355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/>
      </w:tblPr>
      <w:tblGrid>
        <w:gridCol w:w="2869"/>
        <w:gridCol w:w="2593"/>
        <w:gridCol w:w="142"/>
        <w:gridCol w:w="2679"/>
        <w:gridCol w:w="3072"/>
      </w:tblGrid>
      <w:tr w:rsidR="001C16F0" w:rsidRPr="001C16F0" w:rsidTr="00B80FAA"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Характеристика матпомощи</w:t>
            </w:r>
          </w:p>
        </w:tc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Подоходный налог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Страховые взносы</w:t>
            </w:r>
          </w:p>
        </w:tc>
      </w:tr>
      <w:tr w:rsidR="001C16F0" w:rsidRPr="001C16F0" w:rsidTr="00B80FA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ФСЗН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 xml:space="preserve">в </w:t>
            </w:r>
            <w:proofErr w:type="spellStart"/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Белгосстрах</w:t>
            </w:r>
            <w:proofErr w:type="spellEnd"/>
          </w:p>
        </w:tc>
      </w:tr>
      <w:tr w:rsidR="001C16F0" w:rsidRPr="001C16F0" w:rsidTr="00B80FAA">
        <w:tc>
          <w:tcPr>
            <w:tcW w:w="11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связи со смертью близких родственников:</w:t>
            </w:r>
          </w:p>
        </w:tc>
      </w:tr>
      <w:tr w:rsidR="001C16F0" w:rsidRPr="001C16F0" w:rsidTr="00B80FAA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месту основной работы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</w:t>
            </w:r>
          </w:p>
          <w:p w:rsidR="001C16F0" w:rsidRPr="001C16F0" w:rsidRDefault="001C16F0" w:rsidP="001C16F0">
            <w:pPr>
              <w:spacing w:after="0" w:line="293" w:lineRule="atLeast"/>
              <w:textAlignment w:val="baseline"/>
              <w:rPr>
                <w:rFonts w:ascii="inherit" w:eastAsia="Times New Roman" w:hAnsi="inherit" w:cs="Times New Roman"/>
                <w:color w:val="3E4040"/>
                <w:sz w:val="20"/>
                <w:szCs w:val="20"/>
              </w:rPr>
            </w:pPr>
            <w:r w:rsidRPr="001C16F0">
              <w:rPr>
                <w:rFonts w:ascii="inherit" w:eastAsia="Times New Roman" w:hAnsi="inherit" w:cs="Times New Roman"/>
                <w:color w:val="00BCD4"/>
                <w:sz w:val="20"/>
              </w:rPr>
              <w:t>&lt;*&gt;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  <w:tr w:rsidR="001C16F0" w:rsidRPr="001C16F0" w:rsidTr="00B80FAA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совместителю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&lt;*&gt;</w:t>
            </w:r>
          </w:p>
        </w:tc>
        <w:tc>
          <w:tcPr>
            <w:tcW w:w="2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B80FAA">
        <w:tc>
          <w:tcPr>
            <w:tcW w:w="11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lastRenderedPageBreak/>
              <w:t>в связи со смертью родственников, не являющихся близкими:</w:t>
            </w:r>
          </w:p>
        </w:tc>
      </w:tr>
      <w:tr w:rsidR="001C16F0" w:rsidRPr="001C16F0" w:rsidTr="00B80FAA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месту основной работы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1847 руб.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начисляются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начисляются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  <w:tr w:rsidR="001C16F0" w:rsidRPr="001C16F0" w:rsidTr="00B80FAA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совместителю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28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</w:tbl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2. Материальная помощь в связи со смертью, оказываемая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b/>
          <w:bCs/>
          <w:color w:val="3E4040"/>
          <w:sz w:val="27"/>
        </w:rPr>
        <w:t>бывшим работникам:</w:t>
      </w:r>
    </w:p>
    <w:tbl>
      <w:tblPr>
        <w:tblW w:w="11355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/>
      </w:tblPr>
      <w:tblGrid>
        <w:gridCol w:w="2767"/>
        <w:gridCol w:w="2624"/>
        <w:gridCol w:w="2982"/>
        <w:gridCol w:w="2982"/>
      </w:tblGrid>
      <w:tr w:rsidR="001C16F0" w:rsidRPr="001C16F0" w:rsidTr="001C16F0"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Характеристика матпомощи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Подоходный налог</w:t>
            </w:r>
          </w:p>
        </w:tc>
        <w:tc>
          <w:tcPr>
            <w:tcW w:w="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Страховые взносы</w:t>
            </w:r>
          </w:p>
        </w:tc>
      </w:tr>
      <w:tr w:rsidR="001C16F0" w:rsidRPr="001C16F0" w:rsidTr="001C16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ФСЗН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 xml:space="preserve">в </w:t>
            </w:r>
            <w:proofErr w:type="spellStart"/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Белгосстрах</w:t>
            </w:r>
            <w:proofErr w:type="spellEnd"/>
          </w:p>
        </w:tc>
      </w:tr>
      <w:tr w:rsidR="001C16F0" w:rsidRPr="001C16F0" w:rsidTr="001C16F0"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пенсионеру в связи со смертью близких родственников: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бывшему месту основной работы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бывшему совместителю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пенсионеру в связи со смертью родственников, не являющихся близкими: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бывшему месту основной работы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1847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бывшему совместителю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пенсионеру в связи со смертью родственников, в том числе близких: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любому месту работы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</w:tbl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3. Матпомощь, выплачиваемая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b/>
          <w:bCs/>
          <w:color w:val="3E4040"/>
          <w:sz w:val="27"/>
        </w:rPr>
        <w:t>в связи со смертью работника / бывшего работника</w:t>
      </w:r>
      <w:r w:rsidRPr="001C16F0">
        <w:rPr>
          <w:rFonts w:ascii="Arial" w:eastAsia="Times New Roman" w:hAnsi="Arial" w:cs="Arial"/>
          <w:color w:val="3E4040"/>
          <w:sz w:val="27"/>
          <w:szCs w:val="27"/>
        </w:rPr>
        <w:t>:</w:t>
      </w:r>
    </w:p>
    <w:tbl>
      <w:tblPr>
        <w:tblW w:w="11355" w:type="dxa"/>
        <w:tblBorders>
          <w:top w:val="single" w:sz="6" w:space="0" w:color="3E4040"/>
          <w:left w:val="single" w:sz="6" w:space="0" w:color="3E4040"/>
          <w:bottom w:val="single" w:sz="6" w:space="0" w:color="3E4040"/>
          <w:right w:val="single" w:sz="6" w:space="0" w:color="3E4040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657"/>
        <w:gridCol w:w="3019"/>
        <w:gridCol w:w="3019"/>
      </w:tblGrid>
      <w:tr w:rsidR="001C16F0" w:rsidRPr="001C16F0" w:rsidTr="001C16F0"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lastRenderedPageBreak/>
              <w:t>Материальная помощь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Подоходный налог</w:t>
            </w:r>
          </w:p>
        </w:tc>
        <w:tc>
          <w:tcPr>
            <w:tcW w:w="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Страховые взносы</w:t>
            </w:r>
          </w:p>
        </w:tc>
      </w:tr>
      <w:tr w:rsidR="001C16F0" w:rsidRPr="001C16F0" w:rsidTr="001C16F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ФСЗН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 xml:space="preserve">в </w:t>
            </w:r>
            <w:proofErr w:type="spellStart"/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Белгосстрах</w:t>
            </w:r>
            <w:proofErr w:type="spellEnd"/>
          </w:p>
        </w:tc>
      </w:tr>
      <w:tr w:rsidR="001C16F0" w:rsidRPr="001C16F0" w:rsidTr="001C16F0"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связи со смертью работника / бывшего работника — пенсионера:</w:t>
            </w:r>
          </w:p>
        </w:tc>
      </w:tr>
      <w:tr w:rsidR="001C16F0" w:rsidRPr="001C16F0" w:rsidTr="001C16F0">
        <w:tc>
          <w:tcPr>
            <w:tcW w:w="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месту основной работы / по бывшему месту основной работы: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близким родственникам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иным лицам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совместителя / бывшего совместителя: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любым лицам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</w:p>
        </w:tc>
      </w:tr>
      <w:tr w:rsidR="001C16F0" w:rsidRPr="001C16F0" w:rsidTr="001C16F0"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в связи со смертью бывшего работника — не пенсионера:</w:t>
            </w:r>
          </w:p>
        </w:tc>
      </w:tr>
      <w:tr w:rsidR="001C16F0" w:rsidRPr="001C16F0" w:rsidTr="001C16F0"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по любому месту работы любым лицам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облагается в пределах 122 руб.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6F0" w:rsidRPr="001C16F0" w:rsidRDefault="001C16F0" w:rsidP="001C16F0">
            <w:pPr>
              <w:spacing w:after="0" w:line="240" w:lineRule="auto"/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</w:pPr>
            <w:r w:rsidRPr="001C16F0">
              <w:rPr>
                <w:rFonts w:ascii="inherit" w:eastAsia="Times New Roman" w:hAnsi="inherit" w:cs="Times New Roman"/>
                <w:color w:val="3E4040"/>
                <w:sz w:val="24"/>
                <w:szCs w:val="24"/>
              </w:rPr>
              <w:t>не начисляются, поскольку эти лица не подлежат страхованию </w:t>
            </w:r>
            <w:r w:rsidRPr="001C16F0">
              <w:rPr>
                <w:rFonts w:ascii="inherit" w:eastAsia="Times New Roman" w:hAnsi="inherit" w:cs="Times New Roman"/>
                <w:color w:val="00BCD4"/>
                <w:sz w:val="24"/>
                <w:szCs w:val="24"/>
              </w:rPr>
              <w:t>&lt;*&gt;</w:t>
            </w:r>
          </w:p>
        </w:tc>
      </w:tr>
    </w:tbl>
    <w:p w:rsidR="001C16F0" w:rsidRPr="001C16F0" w:rsidRDefault="001C16F0" w:rsidP="00B80FAA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При применении указанных норм важно понимать,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b/>
          <w:bCs/>
          <w:color w:val="3E4040"/>
          <w:sz w:val="27"/>
        </w:rPr>
        <w:t xml:space="preserve">кто относится к близким родственникам и тождественно ли это понятие для целей исчисления подоходного налога и страховых взносов в ФСЗН и </w:t>
      </w:r>
      <w:proofErr w:type="spellStart"/>
      <w:r w:rsidRPr="001C16F0">
        <w:rPr>
          <w:rFonts w:ascii="inherit" w:eastAsia="Times New Roman" w:hAnsi="inherit" w:cs="Arial"/>
          <w:b/>
          <w:bCs/>
          <w:color w:val="3E4040"/>
          <w:sz w:val="27"/>
        </w:rPr>
        <w:t>Белгосстрах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>.</w:t>
      </w:r>
    </w:p>
    <w:p w:rsidR="001C16F0" w:rsidRPr="001C16F0" w:rsidRDefault="001C16F0" w:rsidP="00B80FA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Законодательство (трудовое, семейное, жилищное, гражданское, уголовное и др.) дает разные определения этого понятия.</w:t>
      </w:r>
    </w:p>
    <w:p w:rsidR="001C16F0" w:rsidRPr="001C16F0" w:rsidRDefault="001C16F0" w:rsidP="00B80FA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Для целей исчисления подоходного налога понятие близкого родства устанавливает Налоговый кодекс —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абз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. 2 ч. 2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подп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>. 2.1 ст. 153 НК.</w:t>
      </w:r>
    </w:p>
    <w:p w:rsidR="001C16F0" w:rsidRPr="001C16F0" w:rsidRDefault="001C16F0" w:rsidP="00B80FAA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lastRenderedPageBreak/>
        <w:t xml:space="preserve">Для целей исчисления страховых взносов в законодательстве такого определения нет. При этом льгота по взносам в ФСЗН и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Белгосстрах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 в отношении матпомощи работникам в связи со смертью их близких родственников установлена</w:t>
      </w:r>
      <w:r w:rsidRPr="001C16F0">
        <w:rPr>
          <w:rFonts w:ascii="Arial" w:eastAsia="Times New Roman" w:hAnsi="Arial" w:cs="Arial"/>
          <w:color w:val="3E4040"/>
          <w:sz w:val="27"/>
          <w:szCs w:val="27"/>
        </w:rPr>
        <w:br/>
        <w:t>Перечнем N 115. Полномочия давать разъяснения по вопросам, связанным с применением этого Перечня, предоставлены ФСЗН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color w:val="00BCD4"/>
          <w:sz w:val="27"/>
        </w:rPr>
        <w:t>&lt;*&gt;</w:t>
      </w:r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. В частности, Письмом ФСЗН от 24.10.2014 N 08-07/3289 определено, кто относится к близким родственникам для целей применения п. 7 Перечня N 115. Этим разъяснением следует руководствоваться как при начислении взносов в ФСЗН, так и при начислении взносов в 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Белгосстрах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>.</w:t>
      </w:r>
    </w:p>
    <w:p w:rsidR="001C16F0" w:rsidRPr="001C16F0" w:rsidRDefault="001C16F0" w:rsidP="00B80FAA">
      <w:pPr>
        <w:shd w:val="clear" w:color="auto" w:fill="FFFFFF"/>
        <w:spacing w:after="225" w:line="480" w:lineRule="atLeast"/>
        <w:jc w:val="both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>Исходя из данных определений понятия «близкие родственники» для целей применения льгот по «</w:t>
      </w:r>
      <w:proofErr w:type="spell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зарплатным</w:t>
      </w:r>
      <w:proofErr w:type="spellEnd"/>
      <w:r w:rsidRPr="001C16F0">
        <w:rPr>
          <w:rFonts w:ascii="Arial" w:eastAsia="Times New Roman" w:hAnsi="Arial" w:cs="Arial"/>
          <w:color w:val="3E4040"/>
          <w:sz w:val="27"/>
          <w:szCs w:val="27"/>
        </w:rPr>
        <w:t>» налогам не совпадают: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>
        <w:rPr>
          <w:rFonts w:ascii="inherit" w:eastAsia="Times New Roman" w:hAnsi="inherit" w:cs="Arial"/>
          <w:noProof/>
          <w:color w:val="00BCD4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6667500" cy="3914775"/>
            <wp:effectExtent l="0" t="0" r="0" b="0"/>
            <wp:docPr id="1" name="Рисунок 1" descr="https://ilex.by/wp-content/uploads/2018/07/shema-1-300x176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x.by/wp-content/uploads/2018/07/shema-1-300x176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0" w:rsidRPr="001C16F0" w:rsidRDefault="004B5B0F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hyperlink r:id="rId6" w:history="1">
        <w:r w:rsidR="001C16F0" w:rsidRPr="001C16F0">
          <w:rPr>
            <w:rFonts w:ascii="inherit" w:eastAsia="Times New Roman" w:hAnsi="inherit" w:cs="Arial"/>
            <w:color w:val="00BCD4"/>
            <w:sz w:val="27"/>
          </w:rPr>
          <w:t>скачать схему</w:t>
        </w:r>
      </w:hyperlink>
    </w:p>
    <w:p w:rsidR="001C16F0" w:rsidRPr="001C16F0" w:rsidRDefault="001C16F0" w:rsidP="001C16F0">
      <w:pPr>
        <w:shd w:val="clear" w:color="auto" w:fill="F1F2F6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На заметку</w:t>
      </w:r>
      <w:proofErr w:type="gramStart"/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Д</w:t>
      </w:r>
      <w:proofErr w:type="gram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ля целей исчисления подоходного налога близкие родственники супругов (в том числе умерших) относятся к лицам, состоящим в отношениях свойства,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а не близкого родства </w:t>
      </w:r>
      <w:r w:rsidRPr="001C16F0">
        <w:rPr>
          <w:rFonts w:ascii="inherit" w:eastAsia="Times New Roman" w:hAnsi="inherit" w:cs="Arial"/>
          <w:color w:val="00BCD4"/>
          <w:sz w:val="27"/>
        </w:rPr>
        <w:t>&lt;*&gt;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</w:t>
      </w:r>
    </w:p>
    <w:p w:rsidR="001C16F0" w:rsidRPr="001C16F0" w:rsidRDefault="001C16F0" w:rsidP="001C16F0">
      <w:pPr>
        <w:shd w:val="clear" w:color="auto" w:fill="FFFFFF"/>
        <w:spacing w:after="225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lastRenderedPageBreak/>
        <w:t>Следует отметить, что для применения описанных выше льгот необходимы документы, подтверждающие право на них. Такими документами могут быть копия справки (свидетельства) о смерти, копии документов, подтверждающих близкое родство (свидетельства о браке, свидетельства о рождении и др.), копия трудовой книжки (выписка из приказа, подтверждающая увольнение) и др.</w:t>
      </w:r>
    </w:p>
    <w:p w:rsidR="001C16F0" w:rsidRPr="001C16F0" w:rsidRDefault="001C16F0" w:rsidP="001C16F0">
      <w:pPr>
        <w:shd w:val="clear" w:color="auto" w:fill="FFFFFF"/>
        <w:spacing w:after="225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Рассмотрим, как </w:t>
      </w:r>
      <w:proofErr w:type="gramStart"/>
      <w:r w:rsidRPr="001C16F0">
        <w:rPr>
          <w:rFonts w:ascii="Arial" w:eastAsia="Times New Roman" w:hAnsi="Arial" w:cs="Arial"/>
          <w:color w:val="3E4040"/>
          <w:sz w:val="27"/>
          <w:szCs w:val="27"/>
        </w:rPr>
        <w:t>вышеизложенное</w:t>
      </w:r>
      <w:proofErr w:type="gramEnd"/>
      <w:r w:rsidRPr="001C16F0">
        <w:rPr>
          <w:rFonts w:ascii="Arial" w:eastAsia="Times New Roman" w:hAnsi="Arial" w:cs="Arial"/>
          <w:color w:val="3E4040"/>
          <w:sz w:val="27"/>
          <w:szCs w:val="27"/>
        </w:rPr>
        <w:t xml:space="preserve"> применяется на практических ситуациях.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1.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Работнику по месту основной работы оказана материальная помощь в связи со смертью отца.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Матпомощь подоходным налогом не облагается согласно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1.8 ст. 163 НК.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 согласно п. 7 Перечня N 115.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В целях применения этих норм отец — близкий родственник.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2.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Работнику по месту основной работы оказана материальная помощь в связи со смертью прадеда.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применяется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1.8 ст. 163 НК, поскольку в целях применения этой нормы прадед является близким родственником.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следует начислять, поскольку в целях применения п. 7 Перечня N 115 прадед не является близким родственником.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3.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Работнику по месту основной работы оказана материальная помощь в связи со смертью родного брата его супруги.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. 1.8 ст. 163 НК не применяется, поскольку родной брат супруги в целях применения этой нормы не является близким родственником. Вместе с тем указанная матпомощь может быть 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lastRenderedPageBreak/>
        <w:t xml:space="preserve">освобождена от подоходного налога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1.19 ст. 163 НК (если этот доход в совокупности с иными социальными выплатами не превысил 1847 руб. в году).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начисляются, поскольку родной брат супруги в целях применения п. 7 Перечня N 115 является близким родственником.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4.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Работнику по месту основной работы оказана материальная помощь в связи со смертью родной тети.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. 1.8 ст. 163 НК не применяется, поскольку родная тетя в целях применения этой нормы не является близким родственником. Вместе с тем указанная матпомощь может быть освобождена от подоходного налога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1.19 ст. 163 НК (если этот доход в совокупности с иными социальными выплатами не превысил 1847 руб. в году).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следует начислить, поскольку в целях применения п. 7 Перечня N 115 родная тетя не является близким родственником.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5.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Организация оказывает работнику-совместителю материальную помощь в связи со смертью ребенка.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. 1.8 ст. 163 НК не применяется, поскольку организация не является местом основной работы этого гражданина. В этом случае можно применить льготу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1.19 ст. 163 НК (в пределах 122 руб. в году с учетом иных социальных выплат).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 согласно п. 7 Перечня N 115.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6.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Организация оказывает бывшему работнику — пенсионеру материальную помощь в связи со смертью супруги. Эта организация — бывшее место его основной работы.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применяется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. 1.8 ст. 163 НК, поскольку в целях применения этой нормы 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lastRenderedPageBreak/>
        <w:t>супруга является близким родственником.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начисляются, поскольку этот гражданин не работает в организации.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7.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В связи со смертью работника его супруге выплачена материальная помощь. Организация являлась для работника местом основной работы.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применяется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1.8 ст. 163 НК, поскольку в целях применения этой нормы супруга является близким родственником.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начисляются, поскольку супруга работника не работает в организации и не подлежит указанным видам страхования.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8.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В связи со смертью работника-совместителя его отцу выплачена материальная помощь.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. 1.8 ст. 163 НК не применяется, поскольку организация не является местом основной работы этого гражданина. В этом случае можно применить льготу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1.19 ст. 163 НК (в пределах 122 руб. в году с учетом иных социальных выплат).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начисляются, поскольку отец работника не работает в организации и не подлежит указанным видам страхования.</w:t>
      </w:r>
    </w:p>
    <w:p w:rsidR="001C16F0" w:rsidRPr="001C16F0" w:rsidRDefault="001C16F0" w:rsidP="001C16F0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3E4040"/>
          <w:sz w:val="27"/>
          <w:szCs w:val="27"/>
        </w:rPr>
      </w:pPr>
      <w:r w:rsidRPr="001C16F0">
        <w:rPr>
          <w:rFonts w:ascii="inherit" w:eastAsia="Times New Roman" w:hAnsi="inherit" w:cs="Arial"/>
          <w:b/>
          <w:bCs/>
          <w:i/>
          <w:iCs/>
          <w:color w:val="3E4040"/>
          <w:sz w:val="27"/>
        </w:rPr>
        <w:t>Ситуация 9.</w:t>
      </w:r>
      <w:r w:rsidRPr="001C16F0">
        <w:rPr>
          <w:rFonts w:ascii="Arial" w:eastAsia="Times New Roman" w:hAnsi="Arial" w:cs="Arial"/>
          <w:color w:val="3E4040"/>
          <w:sz w:val="27"/>
        </w:rPr>
        <w:t> </w:t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В связи со смертью бывшего работника — пенсионера его дочери выплачена материальная помощь. Организация являлась для этого гражданина местом основной работы.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В отношении данной помощи применяется льгота по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подп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. 1.8 ст. 163 НК, поскольку в целях применения этой нормы дочь является близким родственником.</w:t>
      </w:r>
      <w:r w:rsidRPr="001C16F0">
        <w:rPr>
          <w:rFonts w:ascii="inherit" w:eastAsia="Times New Roman" w:hAnsi="inherit" w:cs="Arial"/>
          <w:i/>
          <w:iCs/>
          <w:color w:val="3E4040"/>
          <w:sz w:val="27"/>
          <w:szCs w:val="27"/>
          <w:bdr w:val="none" w:sz="0" w:space="0" w:color="auto" w:frame="1"/>
        </w:rPr>
        <w:br/>
      </w:r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lastRenderedPageBreak/>
        <w:t xml:space="preserve">Взносы в ФСЗН и </w:t>
      </w:r>
      <w:proofErr w:type="spellStart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>Белгосстрах</w:t>
      </w:r>
      <w:proofErr w:type="spellEnd"/>
      <w:r w:rsidRPr="001C16F0">
        <w:rPr>
          <w:rFonts w:ascii="inherit" w:eastAsia="Times New Roman" w:hAnsi="inherit" w:cs="Arial"/>
          <w:i/>
          <w:iCs/>
          <w:color w:val="3E4040"/>
          <w:sz w:val="27"/>
        </w:rPr>
        <w:t xml:space="preserve"> не начисляются, поскольку дочь бывшего работника не работает в организации и не подлежит указанным видам страхования.</w:t>
      </w:r>
    </w:p>
    <w:p w:rsidR="001471FC" w:rsidRDefault="001471FC"/>
    <w:sectPr w:rsidR="001471FC" w:rsidSect="00892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6F0"/>
    <w:rsid w:val="001471FC"/>
    <w:rsid w:val="001C16F0"/>
    <w:rsid w:val="004B5B0F"/>
    <w:rsid w:val="0089276A"/>
    <w:rsid w:val="00B05447"/>
    <w:rsid w:val="00B8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6F0"/>
  </w:style>
  <w:style w:type="character" w:styleId="a4">
    <w:name w:val="Strong"/>
    <w:basedOn w:val="a0"/>
    <w:uiPriority w:val="22"/>
    <w:qFormat/>
    <w:rsid w:val="001C16F0"/>
    <w:rPr>
      <w:b/>
      <w:bCs/>
    </w:rPr>
  </w:style>
  <w:style w:type="character" w:customStyle="1" w:styleId="article-tooltip">
    <w:name w:val="article-tooltip"/>
    <w:basedOn w:val="a0"/>
    <w:rsid w:val="001C16F0"/>
  </w:style>
  <w:style w:type="character" w:styleId="a5">
    <w:name w:val="Hyperlink"/>
    <w:basedOn w:val="a0"/>
    <w:uiPriority w:val="99"/>
    <w:semiHidden/>
    <w:unhideWhenUsed/>
    <w:rsid w:val="001C16F0"/>
    <w:rPr>
      <w:color w:val="0000FF"/>
      <w:u w:val="single"/>
    </w:rPr>
  </w:style>
  <w:style w:type="paragraph" w:customStyle="1" w:styleId="article-note">
    <w:name w:val="article-note"/>
    <w:basedOn w:val="a"/>
    <w:rsid w:val="001C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C16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wp-content/uploads/2018/07/shema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lex.by/wp-content/uploads/2018/07/shema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1415</Words>
  <Characters>8067</Characters>
  <Application>Microsoft Office Word</Application>
  <DocSecurity>0</DocSecurity>
  <Lines>67</Lines>
  <Paragraphs>18</Paragraphs>
  <ScaleCrop>false</ScaleCrop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2018-07-18T09:00:00Z</dcterms:created>
  <dcterms:modified xsi:type="dcterms:W3CDTF">2018-10-22T11:43:00Z</dcterms:modified>
</cp:coreProperties>
</file>